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lastRenderedPageBreak/>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lastRenderedPageBreak/>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C1532D">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lastRenderedPageBreak/>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8" w:name="_Ref333698269"/>
      <w:bookmarkStart w:id="9"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8"/>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0"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1"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1"/>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2"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2"/>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lastRenderedPageBreak/>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7"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3"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4"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4"/>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bookmarkStart w:id="15" w:name="_GoBack"/>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w:t>
      </w:r>
      <w:bookmarkEnd w:id="15"/>
      <w:r w:rsidR="00C04AE2" w:rsidRPr="00133678">
        <w:rPr>
          <w:szCs w:val="18"/>
        </w:rPr>
        <w:t xml:space="preserve">.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w:t>
      </w:r>
      <w:r w:rsidRPr="00133678">
        <w:rPr>
          <w:szCs w:val="18"/>
        </w:rPr>
        <w:lastRenderedPageBreak/>
        <w:t>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394F155E"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lastRenderedPageBreak/>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 xml:space="preserve">ykonawcy robót budowlanych realizowanych w oparciu o przedmiot Umowy, w tym w zakresie udzielania wyjaśnień treści OPZ (odpowiedzi na </w:t>
      </w:r>
      <w:r w:rsidRPr="00DD716C">
        <w:rPr>
          <w:rFonts w:cs="Arial"/>
          <w:color w:val="auto"/>
          <w:sz w:val="18"/>
          <w:szCs w:val="18"/>
        </w:rPr>
        <w:lastRenderedPageBreak/>
        <w:t>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w:t>
      </w:r>
      <w:r w:rsidRPr="00133678">
        <w:rPr>
          <w:szCs w:val="18"/>
        </w:rPr>
        <w:lastRenderedPageBreak/>
        <w:t>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lastRenderedPageBreak/>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w:t>
      </w:r>
      <w:r w:rsidR="00691F86" w:rsidRPr="0085429F">
        <w:rPr>
          <w:szCs w:val="18"/>
        </w:rPr>
        <w:lastRenderedPageBreak/>
        <w:t xml:space="preserve">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lastRenderedPageBreak/>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w:t>
      </w:r>
      <w:r w:rsidR="00A92DA6" w:rsidRPr="0025722F">
        <w:rPr>
          <w:szCs w:val="18"/>
        </w:rPr>
        <w:lastRenderedPageBreak/>
        <w:t>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 xml:space="preserve">sposób </w:t>
      </w:r>
      <w:r w:rsidRPr="0025722F">
        <w:rPr>
          <w:szCs w:val="18"/>
        </w:rPr>
        <w:lastRenderedPageBreak/>
        <w:t>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 xml:space="preserve">zabezpieczeniu należytego wykonania Umowy – jeżeli </w:t>
      </w:r>
      <w:r w:rsidRPr="0025722F">
        <w:rPr>
          <w:szCs w:val="18"/>
        </w:rPr>
        <w:lastRenderedPageBreak/>
        <w:t>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w:t>
      </w:r>
      <w:r w:rsidRPr="0025722F">
        <w:rPr>
          <w:rFonts w:ascii="Arial" w:hAnsi="Arial" w:cs="Arial"/>
          <w:sz w:val="18"/>
          <w:szCs w:val="18"/>
        </w:rPr>
        <w:lastRenderedPageBreak/>
        <w:t xml:space="preserve">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lastRenderedPageBreak/>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1"/>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lastRenderedPageBreak/>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3"/>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8"/>
          <w:footerReference w:type="default" r:id="rId19"/>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Content>
      <w:p w14:paraId="0A0C8700" w14:textId="30DDBB12" w:rsidR="00C1532D" w:rsidRDefault="00C1532D" w:rsidP="009F5A4C">
        <w:pPr>
          <w:pStyle w:val="Stopka"/>
          <w:jc w:val="right"/>
        </w:pPr>
        <w:r>
          <w:fldChar w:fldCharType="begin"/>
        </w:r>
        <w:r>
          <w:instrText>PAGE   \* MERGEFORMAT</w:instrText>
        </w:r>
        <w:r>
          <w:fldChar w:fldCharType="separate"/>
        </w:r>
        <w:r w:rsidR="00944807">
          <w:rPr>
            <w:noProof/>
          </w:rPr>
          <w:t>2</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Content>
      <w:p w14:paraId="274235A7" w14:textId="703164D7" w:rsidR="00C1532D" w:rsidRDefault="00C1532D">
        <w:pPr>
          <w:pStyle w:val="Stopka"/>
          <w:jc w:val="center"/>
        </w:pPr>
        <w:r>
          <w:fldChar w:fldCharType="begin"/>
        </w:r>
        <w:r>
          <w:instrText>PAGE   \* MERGEFORMAT</w:instrText>
        </w:r>
        <w:r>
          <w:fldChar w:fldCharType="separate"/>
        </w:r>
        <w:r w:rsidR="00944807">
          <w:rPr>
            <w:noProof/>
          </w:rPr>
          <w:t>1</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F1349" w14:textId="7C95589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1E06FEF1" w:rsidR="00C1532D" w:rsidRPr="00274292" w:rsidRDefault="00C1532D" w:rsidP="0027429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Z1 wzór umowy na DP i OWU.docx</dmsv2BaseFileName>
    <dmsv2BaseDisplayName xmlns="http://schemas.microsoft.com/sharepoint/v3">Załącznik nr 5 do SWZ - Z1 wzór umowy na DP i OWU</dmsv2BaseDisplayName>
    <dmsv2SWPP2ObjectNumber xmlns="http://schemas.microsoft.com/sharepoint/v3">POST/DYS/OLD/GZ/02491/2025                        </dmsv2SWPP2ObjectNumber>
    <dmsv2SWPP2SumMD5 xmlns="http://schemas.microsoft.com/sharepoint/v3">a84c132bcd2f5da2b5c30e0c854f16d3</dmsv2SWPP2SumMD5>
    <dmsv2BaseMoved xmlns="http://schemas.microsoft.com/sharepoint/v3">false</dmsv2BaseMoved>
    <dmsv2BaseIsSensitive xmlns="http://schemas.microsoft.com/sharepoint/v3">true</dmsv2BaseIsSensitive>
    <dmsv2SWPP2IDSWPP2 xmlns="http://schemas.microsoft.com/sharepoint/v3">686109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22861662</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XD3KHSRJV2AP-1441292327-8218</_dlc_DocId>
    <_dlc_DocIdUrl xmlns="a19cb1c7-c5c7-46d4-85ae-d83685407bba">
      <Url>https://swpp2.dms.gkpge.pl/sites/38/_layouts/15/DocIdRedir.aspx?ID=XD3KHSRJV2AP-1441292327-8218</Url>
      <Description>XD3KHSRJV2AP-1441292327-8218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8D9177D2-03FC-4453-BA53-3D6F2795D7DD}"/>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CCA81ACA-4793-46F7-8218-ACD8F35C5231}">
  <ds:schemaRefs>
    <ds:schemaRef ds:uri="http://schemas.openxmlformats.org/officeDocument/2006/bibliography"/>
  </ds:schemaRefs>
</ds:datastoreItem>
</file>

<file path=customXml/itemProps5.xml><?xml version="1.0" encoding="utf-8"?>
<ds:datastoreItem xmlns:ds="http://schemas.openxmlformats.org/officeDocument/2006/customXml" ds:itemID="{6DACE8A8-80E7-4B49-924F-2BFA9F6272BB}"/>
</file>

<file path=docProps/app.xml><?xml version="1.0" encoding="utf-8"?>
<Properties xmlns="http://schemas.openxmlformats.org/officeDocument/2006/extended-properties" xmlns:vt="http://schemas.openxmlformats.org/officeDocument/2006/docPropsVTypes">
  <Template>Normal.dotm</Template>
  <TotalTime>48</TotalTime>
  <Pages>20</Pages>
  <Words>16142</Words>
  <Characters>96858</Characters>
  <Application>Microsoft Office Word</Application>
  <DocSecurity>0</DocSecurity>
  <Lines>807</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2023-02-22T10:56:00Z</cp:lastPrinted>
  <dcterms:created xsi:type="dcterms:W3CDTF">2024-09-23T07:03:00Z</dcterms:created>
  <dcterms:modified xsi:type="dcterms:W3CDTF">2024-09-23T10:55:00Z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ocset_NoMedatataSyncRequired">
    <vt:lpwstr>False</vt:lpwstr>
  </property>
  <property fmtid="{D5CDD505-2E9C-101B-9397-08002B2CF9AE}" pid="4" name="_dlc_DocIdItemGuid">
    <vt:lpwstr>fdf0199b-ca32-45bb-a0b5-bb0fba02c602</vt:lpwstr>
  </property>
</Properties>
</file>